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7321688D"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4A6233">
        <w:t>4</w:t>
      </w:r>
      <w:r w:rsidR="005420B4" w:rsidRPr="00893890">
        <w:t>.</w:t>
      </w:r>
      <w:r w:rsidR="00296EFF">
        <w:t xml:space="preserve"> </w:t>
      </w:r>
      <w:r w:rsidR="004A6233">
        <w:t>února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5E50BDC6" w:rsidR="004D79D4" w:rsidRDefault="004A6233" w:rsidP="00352D8D">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Studie </w:t>
      </w: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ukazuje, že investoři zůstávají oddaní „E“, „S“ i „G“, nicméně přetrvávají překážky</w:t>
      </w:r>
    </w:p>
    <w:p w14:paraId="38D643E4" w14:textId="77777777" w:rsidR="004A6233" w:rsidRDefault="004A6233" w:rsidP="00352D8D">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
    <w:p w14:paraId="14A4C524" w14:textId="636A5B5F" w:rsidR="004A6233" w:rsidRPr="004A6233" w:rsidRDefault="004A6233" w:rsidP="004A6233">
      <w:pPr>
        <w:pStyle w:val="Odstavecseseznamem"/>
        <w:numPr>
          <w:ilvl w:val="0"/>
          <w:numId w:val="53"/>
        </w:numPr>
        <w:spacing w:before="0" w:after="160" w:line="360" w:lineRule="auto"/>
        <w:jc w:val="center"/>
        <w:rPr>
          <w:rFonts w:asciiTheme="minorHAnsi" w:hAnsiTheme="minorHAnsi" w:cstheme="minorHAnsi"/>
          <w:b/>
          <w:bCs/>
          <w:sz w:val="24"/>
          <w:szCs w:val="24"/>
        </w:rPr>
      </w:pPr>
      <w:r w:rsidRPr="004A6233">
        <w:rPr>
          <w:rFonts w:asciiTheme="minorHAnsi" w:hAnsiTheme="minorHAnsi" w:cstheme="minorHAnsi"/>
          <w:b/>
          <w:bCs/>
          <w:sz w:val="24"/>
          <w:szCs w:val="24"/>
        </w:rPr>
        <w:t>Více než polovina investorů stále považuje přístup k životnímu prostředí (Environment), sociální oblasti (</w:t>
      </w:r>
      <w:proofErr w:type="spellStart"/>
      <w:r w:rsidRPr="004A6233">
        <w:rPr>
          <w:rFonts w:asciiTheme="minorHAnsi" w:hAnsiTheme="minorHAnsi" w:cstheme="minorHAnsi"/>
          <w:b/>
          <w:bCs/>
          <w:sz w:val="24"/>
          <w:szCs w:val="24"/>
        </w:rPr>
        <w:t>Social</w:t>
      </w:r>
      <w:proofErr w:type="spellEnd"/>
      <w:r w:rsidRPr="004A6233">
        <w:rPr>
          <w:rFonts w:asciiTheme="minorHAnsi" w:hAnsiTheme="minorHAnsi" w:cstheme="minorHAnsi"/>
          <w:b/>
          <w:bCs/>
          <w:sz w:val="24"/>
          <w:szCs w:val="24"/>
        </w:rPr>
        <w:t>) a řízení podnikání (</w:t>
      </w:r>
      <w:proofErr w:type="spellStart"/>
      <w:r>
        <w:rPr>
          <w:rFonts w:asciiTheme="minorHAnsi" w:hAnsiTheme="minorHAnsi" w:cstheme="minorHAnsi"/>
          <w:b/>
          <w:bCs/>
          <w:sz w:val="24"/>
          <w:szCs w:val="24"/>
        </w:rPr>
        <w:t>G</w:t>
      </w:r>
      <w:r w:rsidRPr="004A6233">
        <w:rPr>
          <w:rFonts w:asciiTheme="minorHAnsi" w:hAnsiTheme="minorHAnsi" w:cstheme="minorHAnsi"/>
          <w:b/>
          <w:bCs/>
          <w:sz w:val="24"/>
          <w:szCs w:val="24"/>
        </w:rPr>
        <w:t>overnance</w:t>
      </w:r>
      <w:proofErr w:type="spellEnd"/>
      <w:r w:rsidRPr="004A6233">
        <w:rPr>
          <w:rFonts w:asciiTheme="minorHAnsi" w:hAnsiTheme="minorHAnsi" w:cstheme="minorHAnsi"/>
          <w:b/>
          <w:bCs/>
          <w:sz w:val="24"/>
          <w:szCs w:val="24"/>
        </w:rPr>
        <w:t>) za velice důležitý při alokaci investičního portfolia</w:t>
      </w:r>
    </w:p>
    <w:p w14:paraId="102BB88B" w14:textId="02402E7F" w:rsidR="004A6233" w:rsidRPr="004A6233" w:rsidRDefault="004A6233" w:rsidP="004A6233">
      <w:pPr>
        <w:pStyle w:val="Odstavecseseznamem"/>
        <w:numPr>
          <w:ilvl w:val="0"/>
          <w:numId w:val="52"/>
        </w:numPr>
        <w:spacing w:before="0" w:after="160" w:line="360" w:lineRule="auto"/>
        <w:jc w:val="center"/>
        <w:rPr>
          <w:rFonts w:asciiTheme="minorHAnsi" w:hAnsiTheme="minorHAnsi" w:cstheme="minorHAnsi"/>
          <w:b/>
          <w:bCs/>
          <w:sz w:val="24"/>
          <w:szCs w:val="24"/>
        </w:rPr>
      </w:pPr>
      <w:r w:rsidRPr="004A6233">
        <w:rPr>
          <w:rFonts w:asciiTheme="minorHAnsi" w:hAnsiTheme="minorHAnsi" w:cstheme="minorHAnsi"/>
          <w:b/>
          <w:bCs/>
          <w:sz w:val="24"/>
          <w:szCs w:val="24"/>
        </w:rPr>
        <w:t xml:space="preserve">Největší překážkou pro volbu udržitelného investování je obtížné měření dopadu </w:t>
      </w:r>
    </w:p>
    <w:p w14:paraId="78536464" w14:textId="73446F96" w:rsidR="004A6233" w:rsidRPr="004A6233" w:rsidRDefault="004A6233" w:rsidP="004A6233">
      <w:pPr>
        <w:pStyle w:val="Odstavecseseznamem"/>
        <w:numPr>
          <w:ilvl w:val="0"/>
          <w:numId w:val="51"/>
        </w:numPr>
        <w:spacing w:before="0" w:after="160" w:line="360" w:lineRule="auto"/>
        <w:jc w:val="center"/>
        <w:rPr>
          <w:rFonts w:asciiTheme="minorHAnsi" w:hAnsiTheme="minorHAnsi" w:cstheme="minorHAnsi"/>
          <w:b/>
          <w:bCs/>
          <w:sz w:val="24"/>
          <w:szCs w:val="24"/>
        </w:rPr>
      </w:pPr>
      <w:r w:rsidRPr="004A6233">
        <w:rPr>
          <w:rFonts w:asciiTheme="minorHAnsi" w:hAnsiTheme="minorHAnsi" w:cstheme="minorHAnsi"/>
          <w:b/>
          <w:bCs/>
          <w:sz w:val="24"/>
          <w:szCs w:val="24"/>
        </w:rPr>
        <w:t xml:space="preserve">Posuďte nejlepší cesty k pozitivním změnám, zejména s dopadovým investováním, </w:t>
      </w:r>
      <w:proofErr w:type="spellStart"/>
      <w:r w:rsidRPr="004A6233">
        <w:rPr>
          <w:rFonts w:asciiTheme="minorHAnsi" w:hAnsiTheme="minorHAnsi" w:cstheme="minorHAnsi"/>
          <w:b/>
          <w:bCs/>
          <w:sz w:val="24"/>
          <w:szCs w:val="24"/>
        </w:rPr>
        <w:t>vyčleňovacím</w:t>
      </w:r>
      <w:proofErr w:type="spellEnd"/>
      <w:r w:rsidRPr="004A6233">
        <w:rPr>
          <w:rFonts w:asciiTheme="minorHAnsi" w:hAnsiTheme="minorHAnsi" w:cstheme="minorHAnsi"/>
          <w:b/>
          <w:bCs/>
          <w:sz w:val="24"/>
          <w:szCs w:val="24"/>
        </w:rPr>
        <w:t xml:space="preserve"> screeningem, posouzením angažovanosti jednotlivých firem a vládní politiky a regulace</w:t>
      </w:r>
    </w:p>
    <w:p w14:paraId="3A131E7D" w14:textId="162B3F24" w:rsidR="004A6233" w:rsidRPr="004A6233" w:rsidRDefault="004A6233" w:rsidP="004A6233">
      <w:pPr>
        <w:spacing w:line="276" w:lineRule="auto"/>
        <w:rPr>
          <w:rFonts w:asciiTheme="minorHAnsi" w:hAnsiTheme="minorHAnsi" w:cstheme="minorHAnsi"/>
          <w:b/>
          <w:bCs/>
          <w:sz w:val="24"/>
          <w:szCs w:val="24"/>
        </w:rPr>
      </w:pPr>
      <w:r w:rsidRPr="004A6233">
        <w:rPr>
          <w:rFonts w:asciiTheme="minorHAnsi" w:hAnsiTheme="minorHAnsi" w:cstheme="minorHAnsi"/>
          <w:b/>
          <w:bCs/>
          <w:sz w:val="24"/>
          <w:szCs w:val="24"/>
        </w:rPr>
        <w:t xml:space="preserve">Společnost </w:t>
      </w:r>
      <w:proofErr w:type="spellStart"/>
      <w:r w:rsidRPr="004A6233">
        <w:rPr>
          <w:rFonts w:asciiTheme="minorHAnsi" w:hAnsiTheme="minorHAnsi" w:cstheme="minorHAnsi"/>
          <w:b/>
          <w:bCs/>
          <w:sz w:val="24"/>
          <w:szCs w:val="24"/>
        </w:rPr>
        <w:t>Fidelity</w:t>
      </w:r>
      <w:proofErr w:type="spellEnd"/>
      <w:r w:rsidRPr="004A6233">
        <w:rPr>
          <w:rFonts w:asciiTheme="minorHAnsi" w:hAnsiTheme="minorHAnsi" w:cstheme="minorHAnsi"/>
          <w:b/>
          <w:bCs/>
          <w:sz w:val="24"/>
          <w:szCs w:val="24"/>
        </w:rPr>
        <w:t xml:space="preserve"> International (</w:t>
      </w:r>
      <w:proofErr w:type="spellStart"/>
      <w:r w:rsidRPr="004A6233">
        <w:rPr>
          <w:rFonts w:asciiTheme="minorHAnsi" w:hAnsiTheme="minorHAnsi" w:cstheme="minorHAnsi"/>
          <w:b/>
          <w:bCs/>
          <w:sz w:val="24"/>
          <w:szCs w:val="24"/>
        </w:rPr>
        <w:t>Fidelity</w:t>
      </w:r>
      <w:proofErr w:type="spellEnd"/>
      <w:r w:rsidRPr="004A6233">
        <w:rPr>
          <w:rFonts w:asciiTheme="minorHAnsi" w:hAnsiTheme="minorHAnsi" w:cstheme="minorHAnsi"/>
          <w:b/>
          <w:bCs/>
          <w:sz w:val="24"/>
          <w:szCs w:val="24"/>
        </w:rPr>
        <w:t xml:space="preserve">) odhalila klíčové závěry ze svého průzkumu „Professional Investor DNA </w:t>
      </w:r>
      <w:proofErr w:type="spellStart"/>
      <w:r w:rsidRPr="004A6233">
        <w:rPr>
          <w:rFonts w:asciiTheme="minorHAnsi" w:hAnsiTheme="minorHAnsi" w:cstheme="minorHAnsi"/>
          <w:b/>
          <w:bCs/>
          <w:sz w:val="24"/>
          <w:szCs w:val="24"/>
        </w:rPr>
        <w:t>Survey</w:t>
      </w:r>
      <w:proofErr w:type="spellEnd"/>
      <w:r w:rsidRPr="004A6233">
        <w:rPr>
          <w:rFonts w:asciiTheme="minorHAnsi" w:hAnsiTheme="minorHAnsi" w:cstheme="minorHAnsi"/>
          <w:b/>
          <w:bCs/>
          <w:sz w:val="24"/>
          <w:szCs w:val="24"/>
        </w:rPr>
        <w:t xml:space="preserve">“, který provedla ve spolupráci s </w:t>
      </w:r>
      <w:proofErr w:type="spellStart"/>
      <w:r w:rsidRPr="004A6233">
        <w:rPr>
          <w:rFonts w:asciiTheme="minorHAnsi" w:hAnsiTheme="minorHAnsi" w:cstheme="minorHAnsi"/>
          <w:b/>
          <w:bCs/>
          <w:sz w:val="24"/>
          <w:szCs w:val="24"/>
        </w:rPr>
        <w:t>Crisil</w:t>
      </w:r>
      <w:proofErr w:type="spellEnd"/>
      <w:r w:rsidRPr="004A6233">
        <w:rPr>
          <w:rFonts w:asciiTheme="minorHAnsi" w:hAnsiTheme="minorHAnsi" w:cstheme="minorHAnsi"/>
          <w:b/>
          <w:bCs/>
          <w:sz w:val="24"/>
          <w:szCs w:val="24"/>
        </w:rPr>
        <w:t xml:space="preserve"> </w:t>
      </w:r>
      <w:proofErr w:type="spellStart"/>
      <w:r w:rsidRPr="004A6233">
        <w:rPr>
          <w:rFonts w:asciiTheme="minorHAnsi" w:hAnsiTheme="minorHAnsi" w:cstheme="minorHAnsi"/>
          <w:b/>
          <w:bCs/>
          <w:sz w:val="24"/>
          <w:szCs w:val="24"/>
        </w:rPr>
        <w:t>Coalition</w:t>
      </w:r>
      <w:proofErr w:type="spellEnd"/>
      <w:r w:rsidRPr="004A6233">
        <w:rPr>
          <w:rFonts w:asciiTheme="minorHAnsi" w:hAnsiTheme="minorHAnsi" w:cstheme="minorHAnsi"/>
          <w:b/>
          <w:bCs/>
          <w:sz w:val="24"/>
          <w:szCs w:val="24"/>
        </w:rPr>
        <w:t xml:space="preserve"> Greenwich. Cílem bylo zjistit ochotu investorů začlenit ESG aspekty při alokaci svého portfolia. Do studie se zapojilo přes 120 institucionálních investorů a zprostředkovatelů z Evropy a Asie. </w:t>
      </w:r>
    </w:p>
    <w:p w14:paraId="43C23D53" w14:textId="6AF3D9D2" w:rsidR="006A3E33" w:rsidRDefault="004A6233" w:rsidP="006A3E33">
      <w:r w:rsidRPr="00887E55">
        <w:rPr>
          <w:noProof/>
        </w:rPr>
        <w:drawing>
          <wp:anchor distT="0" distB="0" distL="114300" distR="114300" simplePos="0" relativeHeight="251658240" behindDoc="0" locked="0" layoutInCell="1" allowOverlap="1" wp14:anchorId="177ABBEA" wp14:editId="05548D38">
            <wp:simplePos x="0" y="0"/>
            <wp:positionH relativeFrom="column">
              <wp:posOffset>-1270</wp:posOffset>
            </wp:positionH>
            <wp:positionV relativeFrom="paragraph">
              <wp:posOffset>664210</wp:posOffset>
            </wp:positionV>
            <wp:extent cx="5731510" cy="830580"/>
            <wp:effectExtent l="0" t="0" r="2540" b="7620"/>
            <wp:wrapTopAndBottom/>
            <wp:docPr id="534614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14788"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830580"/>
                    </a:xfrm>
                    <a:prstGeom prst="rect">
                      <a:avLst/>
                    </a:prstGeom>
                  </pic:spPr>
                </pic:pic>
              </a:graphicData>
            </a:graphic>
          </wp:anchor>
        </w:drawing>
      </w:r>
      <w:r w:rsidRPr="008942A8">
        <w:rPr>
          <w:rFonts w:eastAsia="Arial"/>
        </w:rPr>
        <w:t xml:space="preserve">Podle studie více než polovina investorů </w:t>
      </w:r>
      <w:r>
        <w:rPr>
          <w:rFonts w:eastAsia="Arial"/>
        </w:rPr>
        <w:t xml:space="preserve">stále považuje </w:t>
      </w:r>
      <w:r w:rsidRPr="008942A8">
        <w:rPr>
          <w:rFonts w:eastAsia="Arial"/>
        </w:rPr>
        <w:t xml:space="preserve">faktory „E“, „S“ a „G“ za důležité, pokud jde o alokaci aktiv během příštích 18 měsíců. </w:t>
      </w:r>
    </w:p>
    <w:p w14:paraId="31AF4877" w14:textId="6B62CCFD" w:rsidR="004A6233" w:rsidRDefault="004A6233" w:rsidP="004A6233">
      <w:pPr>
        <w:spacing w:line="360" w:lineRule="auto"/>
      </w:pPr>
      <w:r w:rsidRPr="00887E55">
        <w:rPr>
          <w:noProof/>
        </w:rPr>
        <w:drawing>
          <wp:inline distT="0" distB="0" distL="0" distR="0" wp14:anchorId="523A4E0E" wp14:editId="21D16074">
            <wp:extent cx="5731510" cy="224155"/>
            <wp:effectExtent l="0" t="0" r="2540" b="4445"/>
            <wp:docPr id="33408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88399" name=""/>
                    <pic:cNvPicPr/>
                  </pic:nvPicPr>
                  <pic:blipFill>
                    <a:blip r:embed="rId13"/>
                    <a:stretch>
                      <a:fillRect/>
                    </a:stretch>
                  </pic:blipFill>
                  <pic:spPr>
                    <a:xfrm>
                      <a:off x="0" y="0"/>
                      <a:ext cx="5731510" cy="224155"/>
                    </a:xfrm>
                    <a:prstGeom prst="rect">
                      <a:avLst/>
                    </a:prstGeom>
                  </pic:spPr>
                </pic:pic>
              </a:graphicData>
            </a:graphic>
          </wp:inline>
        </w:drawing>
      </w:r>
      <w:r w:rsidRPr="004A6233">
        <w:t xml:space="preserve"> </w:t>
      </w:r>
      <w:r>
        <w:t>Nejdůležitější je pro investory „E“, tedy životní prostřední, a to pro dvě třetiny (63 %), poté je „G“, řízení podnikání (58 %) a nakonec „S“, sociální oblast (51</w:t>
      </w:r>
      <w:r w:rsidR="00C7074E">
        <w:t xml:space="preserve"> </w:t>
      </w:r>
      <w:r>
        <w:t xml:space="preserve">%). Nejvíce při investování na ESG kritéria hledí evropští a institucionální investoři. </w:t>
      </w:r>
    </w:p>
    <w:p w14:paraId="29D5470E" w14:textId="77777777" w:rsidR="00C7074E" w:rsidRDefault="00C7074E" w:rsidP="00C7074E">
      <w:pPr>
        <w:spacing w:line="360" w:lineRule="auto"/>
      </w:pPr>
      <w:r>
        <w:t xml:space="preserve">Bližší pohled na udržitelnost odhalil tři zásadní témata, která investory zajímají. Jsou to dekarbonizace, přechod na zelenější energii a ochrana přírodních zdrojů. To je pravděpodobně ovlivněno obecnou </w:t>
      </w:r>
      <w:r>
        <w:lastRenderedPageBreak/>
        <w:t>snahou o nulovou uhlíkovou stopu, která vzniká jak na straně investorů, tak na základě vládních nařízení.</w:t>
      </w:r>
    </w:p>
    <w:p w14:paraId="0D4F110A" w14:textId="788EB16F" w:rsidR="006A3E33" w:rsidRPr="00C7074E" w:rsidRDefault="00C7074E" w:rsidP="0090004B">
      <w:pPr>
        <w:spacing w:line="360" w:lineRule="auto"/>
      </w:pPr>
      <w:r>
        <w:t xml:space="preserve">Na celkovém druhém místě je firemní transparentnost, dokládající touhu investorů po pevném řízení podnikání.  </w:t>
      </w:r>
    </w:p>
    <w:p w14:paraId="504BC853" w14:textId="77777777" w:rsidR="00C7074E" w:rsidRDefault="00C7074E" w:rsidP="0090004B">
      <w:pPr>
        <w:spacing w:line="360" w:lineRule="auto"/>
        <w:rPr>
          <w:rFonts w:asciiTheme="minorHAnsi" w:hAnsiTheme="minorHAnsi" w:cstheme="minorHAnsi"/>
          <w:b/>
          <w:bCs/>
          <w:sz w:val="24"/>
          <w:szCs w:val="24"/>
        </w:rPr>
      </w:pPr>
      <w:r w:rsidRPr="00887E55">
        <w:rPr>
          <w:noProof/>
        </w:rPr>
        <w:drawing>
          <wp:inline distT="0" distB="0" distL="0" distR="0" wp14:anchorId="0BB04B3C" wp14:editId="0542EC9B">
            <wp:extent cx="5731510" cy="3195955"/>
            <wp:effectExtent l="0" t="0" r="2540" b="4445"/>
            <wp:docPr id="188031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17980" name=""/>
                    <pic:cNvPicPr/>
                  </pic:nvPicPr>
                  <pic:blipFill>
                    <a:blip r:embed="rId14"/>
                    <a:stretch>
                      <a:fillRect/>
                    </a:stretch>
                  </pic:blipFill>
                  <pic:spPr>
                    <a:xfrm>
                      <a:off x="0" y="0"/>
                      <a:ext cx="5731510" cy="3195955"/>
                    </a:xfrm>
                    <a:prstGeom prst="rect">
                      <a:avLst/>
                    </a:prstGeom>
                  </pic:spPr>
                </pic:pic>
              </a:graphicData>
            </a:graphic>
          </wp:inline>
        </w:drawing>
      </w:r>
    </w:p>
    <w:p w14:paraId="7A6C0E7F" w14:textId="77777777" w:rsidR="00C7074E" w:rsidRDefault="00C7074E" w:rsidP="00C7074E">
      <w:pPr>
        <w:spacing w:line="360" w:lineRule="auto"/>
        <w:rPr>
          <w:rFonts w:asciiTheme="minorHAnsi" w:hAnsiTheme="minorHAnsi" w:cstheme="minorHAnsi"/>
          <w:b/>
          <w:bCs/>
          <w:sz w:val="24"/>
          <w:szCs w:val="24"/>
        </w:rPr>
      </w:pPr>
      <w:r>
        <w:rPr>
          <w:rFonts w:asciiTheme="minorHAnsi" w:hAnsiTheme="minorHAnsi" w:cstheme="minorHAnsi"/>
          <w:b/>
          <w:bCs/>
          <w:sz w:val="24"/>
          <w:szCs w:val="24"/>
        </w:rPr>
        <w:t>Nesnadné měření dopadu je největší překážkou při zeleném investování</w:t>
      </w:r>
    </w:p>
    <w:p w14:paraId="6D59D8B9" w14:textId="06178802" w:rsidR="00C7074E" w:rsidRDefault="00C7074E" w:rsidP="00C7074E">
      <w:pPr>
        <w:spacing w:line="360" w:lineRule="auto"/>
      </w:pPr>
      <w:r>
        <w:t xml:space="preserve">Ačkoli se ESG při investování jeví jako důležitý faktor, stále existují různé bariéry. Mezi největší patří nesnadné měření dopadu (celkem 68 %). Podle 52 % investorů jsou další bariérou často měněné nebo nekonzistentní nařízení. 66 % asijských investorů pociťuje jako překážku nedostatek kvalitních strategií a produktů, ve srovnání s 31 % investorů v Evropě. </w:t>
      </w:r>
    </w:p>
    <w:p w14:paraId="1DEB1D0D" w14:textId="77777777" w:rsidR="00C7074E" w:rsidRDefault="00C7074E" w:rsidP="00C7074E">
      <w:pPr>
        <w:spacing w:line="360" w:lineRule="auto"/>
        <w:rPr>
          <w:i/>
          <w:iCs/>
        </w:rPr>
      </w:pPr>
      <w:proofErr w:type="spellStart"/>
      <w:r w:rsidRPr="00887E55">
        <w:rPr>
          <w:b/>
          <w:bCs/>
        </w:rPr>
        <w:t>Jenn-Hui</w:t>
      </w:r>
      <w:proofErr w:type="spellEnd"/>
      <w:r w:rsidRPr="00887E55">
        <w:rPr>
          <w:b/>
          <w:bCs/>
        </w:rPr>
        <w:t xml:space="preserve"> </w:t>
      </w:r>
      <w:proofErr w:type="spellStart"/>
      <w:r w:rsidRPr="00887E55">
        <w:rPr>
          <w:b/>
          <w:bCs/>
        </w:rPr>
        <w:t>Tan</w:t>
      </w:r>
      <w:proofErr w:type="spellEnd"/>
      <w:r w:rsidRPr="00887E55">
        <w:rPr>
          <w:b/>
          <w:bCs/>
        </w:rPr>
        <w:t xml:space="preserve">, </w:t>
      </w:r>
      <w:proofErr w:type="spellStart"/>
      <w:r w:rsidRPr="00887E55">
        <w:rPr>
          <w:b/>
          <w:bCs/>
        </w:rPr>
        <w:t>Chief</w:t>
      </w:r>
      <w:proofErr w:type="spellEnd"/>
      <w:r w:rsidRPr="00887E55">
        <w:rPr>
          <w:b/>
          <w:bCs/>
        </w:rPr>
        <w:t xml:space="preserve"> </w:t>
      </w:r>
      <w:proofErr w:type="spellStart"/>
      <w:r w:rsidRPr="00887E55">
        <w:rPr>
          <w:b/>
          <w:bCs/>
        </w:rPr>
        <w:t>Sustainability</w:t>
      </w:r>
      <w:proofErr w:type="spellEnd"/>
      <w:r w:rsidRPr="00887E55">
        <w:rPr>
          <w:b/>
          <w:bCs/>
        </w:rPr>
        <w:t xml:space="preserve"> </w:t>
      </w:r>
      <w:proofErr w:type="spellStart"/>
      <w:r w:rsidRPr="00887E55">
        <w:rPr>
          <w:b/>
          <w:bCs/>
        </w:rPr>
        <w:t>Officer</w:t>
      </w:r>
      <w:proofErr w:type="spellEnd"/>
      <w:r w:rsidRPr="00887E55">
        <w:rPr>
          <w:b/>
          <w:bCs/>
        </w:rPr>
        <w:t xml:space="preserve">, </w:t>
      </w:r>
      <w:proofErr w:type="spellStart"/>
      <w:r w:rsidRPr="00887E55">
        <w:rPr>
          <w:b/>
          <w:bCs/>
        </w:rPr>
        <w:t>Fidelity</w:t>
      </w:r>
      <w:proofErr w:type="spellEnd"/>
      <w:r w:rsidRPr="00887E55">
        <w:rPr>
          <w:b/>
          <w:bCs/>
        </w:rPr>
        <w:t xml:space="preserve"> International</w:t>
      </w:r>
      <w:r>
        <w:rPr>
          <w:b/>
          <w:bCs/>
        </w:rPr>
        <w:t>,</w:t>
      </w:r>
      <w:r w:rsidRPr="00887E55">
        <w:rPr>
          <w:b/>
          <w:bCs/>
        </w:rPr>
        <w:t xml:space="preserve"> </w:t>
      </w:r>
      <w:r>
        <w:rPr>
          <w:b/>
          <w:bCs/>
        </w:rPr>
        <w:t>to komentuje</w:t>
      </w:r>
      <w:r w:rsidRPr="00887E55">
        <w:rPr>
          <w:b/>
          <w:bCs/>
        </w:rPr>
        <w:t xml:space="preserve">: </w:t>
      </w:r>
      <w:r w:rsidRPr="00C7074E">
        <w:rPr>
          <w:i/>
          <w:iCs/>
        </w:rPr>
        <w:t>“Naše studie dokazuje, že investoři na ESG myslí. Ačkoli se udržitelné investování jeví nyní jako zcela běžné, je i nadále nutné ho usnadnit strhnutím současných bariér. Mezi ně patří potíže s měřením dopadu. Tam je hlavním problémem získávání a analýza kvalitních dat o společnostech, a také orientace v nařízeních, která jsou na národním, evropském i globálním poli stále nejednotná.“</w:t>
      </w:r>
    </w:p>
    <w:p w14:paraId="6B32F288" w14:textId="77777777" w:rsidR="00C7074E" w:rsidRPr="00C7074E" w:rsidRDefault="00C7074E" w:rsidP="00C7074E">
      <w:pPr>
        <w:spacing w:line="360" w:lineRule="auto"/>
        <w:rPr>
          <w:i/>
          <w:iCs/>
        </w:rPr>
      </w:pPr>
      <w:r w:rsidRPr="00C7074E">
        <w:rPr>
          <w:i/>
          <w:iCs/>
        </w:rPr>
        <w:t>“I nadále podporujeme zlepšení transparentnosti a standardizaci dat, včetně harmonizace globálních nařízení, která by napomohla zveřejňování informací užitečných pro rozhodování. Zasazujeme se také o postupy, které ukážou opravdové výsledky, aby investoři měli ke svému rozhodování co nejvíce informací.”</w:t>
      </w:r>
    </w:p>
    <w:p w14:paraId="4E854EF5" w14:textId="77777777" w:rsidR="00C7074E" w:rsidRPr="00C7074E" w:rsidRDefault="00C7074E" w:rsidP="00C7074E">
      <w:pPr>
        <w:pStyle w:val="F2-zkladn"/>
      </w:pPr>
    </w:p>
    <w:p w14:paraId="575F7B47" w14:textId="77777777" w:rsidR="00C7074E" w:rsidRPr="00C7074E" w:rsidRDefault="00C7074E" w:rsidP="00C7074E">
      <w:pPr>
        <w:pStyle w:val="F2-zkladn"/>
      </w:pPr>
    </w:p>
    <w:p w14:paraId="62485316" w14:textId="77777777" w:rsidR="00C7074E" w:rsidRDefault="00C7074E" w:rsidP="0090004B">
      <w:pPr>
        <w:spacing w:line="360" w:lineRule="auto"/>
        <w:rPr>
          <w:rFonts w:asciiTheme="minorHAnsi" w:hAnsiTheme="minorHAnsi" w:cstheme="minorHAnsi"/>
          <w:b/>
          <w:bCs/>
          <w:sz w:val="24"/>
          <w:szCs w:val="24"/>
        </w:rPr>
      </w:pPr>
      <w:r w:rsidRPr="00887E55">
        <w:rPr>
          <w:noProof/>
        </w:rPr>
        <w:lastRenderedPageBreak/>
        <w:drawing>
          <wp:inline distT="0" distB="0" distL="0" distR="0" wp14:anchorId="4EB562E1" wp14:editId="1F9F2AC1">
            <wp:extent cx="5731510" cy="3457575"/>
            <wp:effectExtent l="0" t="0" r="2540" b="9525"/>
            <wp:docPr id="2143021209" name="Picture 1" descr="Obsah obrázku text, snímek obrazovky, Písmo, číslo&#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21209" name="Picture 1" descr="Obsah obrázku text, snímek obrazovky, Písmo, číslo&#10;&#10;Obsah vygenerovaný umělou inteligencí může být nesprávný."/>
                    <pic:cNvPicPr/>
                  </pic:nvPicPr>
                  <pic:blipFill>
                    <a:blip r:embed="rId15"/>
                    <a:stretch>
                      <a:fillRect/>
                    </a:stretch>
                  </pic:blipFill>
                  <pic:spPr>
                    <a:xfrm>
                      <a:off x="0" y="0"/>
                      <a:ext cx="5731510" cy="3457575"/>
                    </a:xfrm>
                    <a:prstGeom prst="rect">
                      <a:avLst/>
                    </a:prstGeom>
                  </pic:spPr>
                </pic:pic>
              </a:graphicData>
            </a:graphic>
          </wp:inline>
        </w:drawing>
      </w:r>
    </w:p>
    <w:p w14:paraId="0BA86303" w14:textId="77777777" w:rsidR="00C7074E" w:rsidRPr="00C7074E" w:rsidRDefault="00C7074E" w:rsidP="00C7074E">
      <w:pPr>
        <w:spacing w:line="360" w:lineRule="auto"/>
        <w:rPr>
          <w:i/>
          <w:iCs/>
        </w:rPr>
      </w:pPr>
      <w:r w:rsidRPr="00C7074E">
        <w:rPr>
          <w:i/>
          <w:iCs/>
        </w:rPr>
        <w:t>„V Asii naše studie zjistila, že dostupnost produktů stále zaostává za Evropou. Klíčovou oblastí, na kterou v Asii zaměřuje pozornost, je přechodné financování, které je podporováno národními přechodovými plány, a dále inovativními rámci a strukturami produktů. Předpokládáme, že to spustí větší produktovou inovaci, která zareaguje na rostoucí požadavky od klientů.“</w:t>
      </w:r>
    </w:p>
    <w:p w14:paraId="640D5E24" w14:textId="507A56DD" w:rsidR="0090004B" w:rsidRPr="0090004B" w:rsidRDefault="00C7074E" w:rsidP="0090004B">
      <w:pPr>
        <w:spacing w:line="360" w:lineRule="auto"/>
        <w:rPr>
          <w:rFonts w:asciiTheme="minorHAnsi" w:hAnsiTheme="minorHAnsi" w:cstheme="minorHAnsi"/>
          <w:b/>
          <w:bCs/>
          <w:sz w:val="24"/>
          <w:szCs w:val="24"/>
        </w:rPr>
      </w:pPr>
      <w:r>
        <w:rPr>
          <w:rFonts w:asciiTheme="minorHAnsi" w:hAnsiTheme="minorHAnsi" w:cstheme="minorHAnsi"/>
          <w:b/>
          <w:bCs/>
          <w:sz w:val="24"/>
          <w:szCs w:val="24"/>
        </w:rPr>
        <w:t>Jak vytvářet pozitivní dopad</w:t>
      </w:r>
    </w:p>
    <w:p w14:paraId="3B48B67C" w14:textId="77777777" w:rsidR="00C7074E" w:rsidRDefault="00C7074E" w:rsidP="00C7074E">
      <w:pPr>
        <w:spacing w:line="360" w:lineRule="auto"/>
      </w:pPr>
      <w:r w:rsidRPr="000074D2">
        <w:t>Na otázku, jaký je nejefektivnější způsob vytváření pozitivního dopadu, odpověděli investoři různými způsoby</w:t>
      </w:r>
      <w:r>
        <w:t xml:space="preserve">. Uváděli dopadové </w:t>
      </w:r>
      <w:r w:rsidRPr="000074D2">
        <w:t xml:space="preserve">investování (59 %), vylučovací screening (52 %), </w:t>
      </w:r>
      <w:r>
        <w:t xml:space="preserve">individuální </w:t>
      </w:r>
      <w:r w:rsidRPr="000074D2">
        <w:t>zapojení společností (44 %) a</w:t>
      </w:r>
      <w:r>
        <w:t xml:space="preserve"> také </w:t>
      </w:r>
      <w:r w:rsidRPr="000074D2">
        <w:t xml:space="preserve">vládní politiku a regulaci (44 %), což </w:t>
      </w:r>
      <w:r>
        <w:t>zdůrazňuje</w:t>
      </w:r>
      <w:r w:rsidRPr="000074D2">
        <w:t xml:space="preserve"> nutnost více</w:t>
      </w:r>
      <w:r>
        <w:t xml:space="preserve"> </w:t>
      </w:r>
      <w:r w:rsidRPr="000074D2">
        <w:t>faktorového přístupu k prosazování změn.</w:t>
      </w:r>
    </w:p>
    <w:p w14:paraId="00227F75" w14:textId="77777777" w:rsidR="00207349" w:rsidRPr="00207349" w:rsidRDefault="00207349" w:rsidP="00207349">
      <w:pPr>
        <w:spacing w:line="360" w:lineRule="auto"/>
        <w:rPr>
          <w:i/>
          <w:iCs/>
        </w:rPr>
      </w:pPr>
      <w:proofErr w:type="spellStart"/>
      <w:r w:rsidRPr="00887E55">
        <w:rPr>
          <w:b/>
          <w:bCs/>
        </w:rPr>
        <w:t>Jenn-Hui</w:t>
      </w:r>
      <w:proofErr w:type="spellEnd"/>
      <w:r w:rsidRPr="00887E55">
        <w:rPr>
          <w:b/>
          <w:bCs/>
        </w:rPr>
        <w:t xml:space="preserve"> </w:t>
      </w:r>
      <w:proofErr w:type="spellStart"/>
      <w:r w:rsidRPr="00887E55">
        <w:rPr>
          <w:b/>
          <w:bCs/>
        </w:rPr>
        <w:t>Tan</w:t>
      </w:r>
      <w:proofErr w:type="spellEnd"/>
      <w:r>
        <w:rPr>
          <w:b/>
          <w:bCs/>
        </w:rPr>
        <w:t xml:space="preserve"> dodává</w:t>
      </w:r>
      <w:r w:rsidRPr="00887E55">
        <w:t xml:space="preserve">: </w:t>
      </w:r>
      <w:r w:rsidRPr="00207349">
        <w:rPr>
          <w:i/>
          <w:iCs/>
        </w:rPr>
        <w:t>“Věříme, že začlenění udržitelnosti do investičního průzkumu a sestavování portfolia je důležité, jelikož může ovlivnit dlouhodobé vytváření hodnoty a vést k lepším výsledkům pro klienty. Jakožto činný manažer a správce klientského kapitálu se podílíme na směřování k udržitelné ekonomice, která lépe zohledňuje systémová rizika, ale jak studie zdůrazňuje, neexistuje jediný způsob, jak toho dosáhnout. Proto věříme, že efektivní správa kombinuje vertikální, tematické a systémové přístupy.“</w:t>
      </w:r>
    </w:p>
    <w:p w14:paraId="4F043112" w14:textId="77777777" w:rsidR="00207349" w:rsidRDefault="00207349" w:rsidP="006A3E33">
      <w:pPr>
        <w:rPr>
          <w:noProof/>
        </w:rPr>
      </w:pPr>
    </w:p>
    <w:p w14:paraId="71064424" w14:textId="77777777" w:rsidR="00207349" w:rsidRDefault="00207349" w:rsidP="006A3E33">
      <w:pPr>
        <w:rPr>
          <w:noProof/>
        </w:rPr>
      </w:pPr>
    </w:p>
    <w:p w14:paraId="416024E4" w14:textId="77777777" w:rsidR="00207349" w:rsidRDefault="00207349" w:rsidP="006A3E33">
      <w:pPr>
        <w:rPr>
          <w:noProof/>
        </w:rPr>
      </w:pPr>
    </w:p>
    <w:p w14:paraId="22EB7263" w14:textId="77777777" w:rsidR="00207349" w:rsidRDefault="00207349" w:rsidP="006A3E33">
      <w:pPr>
        <w:rPr>
          <w:noProof/>
        </w:rPr>
      </w:pPr>
    </w:p>
    <w:p w14:paraId="52C10428" w14:textId="195D2010" w:rsidR="00207349" w:rsidRPr="00207349" w:rsidRDefault="00207349" w:rsidP="00207349">
      <w:pPr>
        <w:spacing w:line="360" w:lineRule="auto"/>
        <w:rPr>
          <w:i/>
          <w:iCs/>
        </w:rPr>
      </w:pPr>
      <w:r w:rsidRPr="00207349">
        <w:rPr>
          <w:i/>
          <w:iCs/>
          <w:noProof/>
        </w:rPr>
        <w:lastRenderedPageBreak/>
        <w:drawing>
          <wp:anchor distT="0" distB="0" distL="114300" distR="114300" simplePos="0" relativeHeight="251659264" behindDoc="0" locked="0" layoutInCell="1" allowOverlap="1" wp14:anchorId="49EC6C30" wp14:editId="1AD91543">
            <wp:simplePos x="0" y="0"/>
            <wp:positionH relativeFrom="column">
              <wp:posOffset>-1270</wp:posOffset>
            </wp:positionH>
            <wp:positionV relativeFrom="paragraph">
              <wp:posOffset>0</wp:posOffset>
            </wp:positionV>
            <wp:extent cx="5731510" cy="3345180"/>
            <wp:effectExtent l="0" t="0" r="2540" b="7620"/>
            <wp:wrapTopAndBottom/>
            <wp:docPr id="314831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31455"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3345180"/>
                    </a:xfrm>
                    <a:prstGeom prst="rect">
                      <a:avLst/>
                    </a:prstGeom>
                  </pic:spPr>
                </pic:pic>
              </a:graphicData>
            </a:graphic>
          </wp:anchor>
        </w:drawing>
      </w:r>
      <w:r w:rsidRPr="00207349">
        <w:rPr>
          <w:i/>
          <w:iCs/>
        </w:rPr>
        <w:t>„I nadále zůstává pro toto odvětví výzvou měření a přiřazování dopadu. V rámci našeho závazku prosazovat smysluplné a měřitelné změny právě vyvíjíme vylepšené metody, abychom mohli lépe měřit hloubku a kvalitu našich činností na základě konkrétních cílů v průběhu času, což nám umožní podnikat kroky více založené na výsledcích.“</w:t>
      </w:r>
    </w:p>
    <w:p w14:paraId="3C1B8E9C" w14:textId="77777777" w:rsidR="00207349" w:rsidRPr="00207349" w:rsidRDefault="00207349" w:rsidP="00207349">
      <w:pPr>
        <w:spacing w:line="360" w:lineRule="auto"/>
        <w:rPr>
          <w:i/>
          <w:iCs/>
        </w:rPr>
      </w:pPr>
      <w:r w:rsidRPr="00207349">
        <w:rPr>
          <w:i/>
          <w:iCs/>
        </w:rPr>
        <w:t>„</w:t>
      </w:r>
      <w:proofErr w:type="spellStart"/>
      <w:r w:rsidRPr="00207349">
        <w:rPr>
          <w:i/>
          <w:iCs/>
        </w:rPr>
        <w:t>Fidelity</w:t>
      </w:r>
      <w:proofErr w:type="spellEnd"/>
      <w:r w:rsidRPr="00207349">
        <w:rPr>
          <w:i/>
          <w:iCs/>
        </w:rPr>
        <w:t xml:space="preserve"> pokračuje v začleňování ESG do svého investičního portfolia, vyvíjí robustní </w:t>
      </w:r>
      <w:hyperlink r:id="rId17" w:history="1">
        <w:r w:rsidRPr="00207349">
          <w:rPr>
            <w:rStyle w:val="Hypertextovodkaz"/>
            <w:i/>
            <w:iCs/>
          </w:rPr>
          <w:t>udržitelný investiční rámec</w:t>
        </w:r>
      </w:hyperlink>
      <w:r w:rsidRPr="00207349">
        <w:rPr>
          <w:i/>
          <w:iCs/>
        </w:rPr>
        <w:t xml:space="preserve">, a aktivně přispívá ke klíčových regulačním nástrojům jak na globální, tak místní úrovni. </w:t>
      </w:r>
      <w:proofErr w:type="spellStart"/>
      <w:r w:rsidRPr="00207349">
        <w:rPr>
          <w:i/>
          <w:iCs/>
        </w:rPr>
        <w:t>Fidelity</w:t>
      </w:r>
      <w:proofErr w:type="spellEnd"/>
      <w:r w:rsidRPr="00207349">
        <w:rPr>
          <w:i/>
          <w:iCs/>
        </w:rPr>
        <w:t xml:space="preserve"> se zaměřuje na čtyři systémová témata: ztráta přírody, klimatická změna, silné a efektivní řízení a sociální rozdíly, která řídí náš přístup aktivního zapojení.“</w:t>
      </w:r>
    </w:p>
    <w:p w14:paraId="5F9F1627" w14:textId="25660F08" w:rsidR="00284D83" w:rsidRPr="00284D83" w:rsidRDefault="006D31D9" w:rsidP="006A3E33">
      <w:r>
        <w:rPr>
          <w:rFonts w:asciiTheme="minorHAnsi" w:hAnsiTheme="minorHAnsi" w:cstheme="minorHAnsi"/>
          <w:b/>
          <w:bCs/>
          <w:sz w:val="24"/>
          <w:szCs w:val="24"/>
        </w:rPr>
        <w:br/>
      </w:r>
    </w:p>
    <w:p w14:paraId="1E84F3E1" w14:textId="77777777" w:rsidR="006D31D9" w:rsidRDefault="006D31D9" w:rsidP="006D31D9">
      <w:pPr>
        <w:spacing w:before="0" w:line="240" w:lineRule="atLeast"/>
        <w:rPr>
          <w:b/>
        </w:rPr>
      </w:pPr>
      <w:r w:rsidRPr="00455A3C">
        <w:rPr>
          <w:b/>
        </w:rPr>
        <w:t>Pro více informací kontaktujte:</w:t>
      </w:r>
    </w:p>
    <w:p w14:paraId="6D8CC146" w14:textId="77777777" w:rsidR="006D31D9" w:rsidRDefault="006D31D9" w:rsidP="006D31D9">
      <w:pPr>
        <w:spacing w:before="0" w:line="240" w:lineRule="atLeast"/>
        <w:rPr>
          <w:b/>
        </w:rPr>
      </w:pPr>
      <w:r>
        <w:rPr>
          <w:b/>
        </w:rPr>
        <w:t>Eliška Krohová</w:t>
      </w:r>
    </w:p>
    <w:p w14:paraId="4BDF7FA8" w14:textId="77777777" w:rsidR="006D31D9" w:rsidRPr="00455A3C" w:rsidRDefault="006D31D9" w:rsidP="006D31D9">
      <w:pPr>
        <w:spacing w:before="0" w:line="240" w:lineRule="atLeast"/>
        <w:rPr>
          <w:b/>
          <w:bCs/>
        </w:rPr>
      </w:pPr>
      <w:r w:rsidRPr="00455A3C">
        <w:rPr>
          <w:b/>
          <w:bCs/>
        </w:rPr>
        <w:t>Crest Communications, a.s.</w:t>
      </w:r>
    </w:p>
    <w:p w14:paraId="58313928" w14:textId="77777777" w:rsidR="006D31D9" w:rsidRPr="00455A3C" w:rsidRDefault="006D31D9" w:rsidP="006D31D9">
      <w:pPr>
        <w:spacing w:before="0" w:line="240" w:lineRule="atLeast"/>
      </w:pPr>
    </w:p>
    <w:p w14:paraId="736A874C" w14:textId="77777777" w:rsidR="006D31D9" w:rsidRPr="00455A3C" w:rsidRDefault="006D31D9" w:rsidP="006D31D9">
      <w:pPr>
        <w:spacing w:before="0" w:line="240" w:lineRule="atLeast"/>
      </w:pPr>
      <w:r w:rsidRPr="00455A3C">
        <w:t>Ostrovní 126/30</w:t>
      </w:r>
    </w:p>
    <w:p w14:paraId="58D571A8" w14:textId="77777777" w:rsidR="006D31D9" w:rsidRPr="00455A3C" w:rsidRDefault="006D31D9" w:rsidP="006D31D9">
      <w:pPr>
        <w:spacing w:before="0" w:line="240" w:lineRule="atLeast"/>
      </w:pPr>
      <w:r w:rsidRPr="00455A3C">
        <w:t>110 00 Praha 1</w:t>
      </w:r>
    </w:p>
    <w:p w14:paraId="0F762E66" w14:textId="77777777" w:rsidR="006D31D9" w:rsidRPr="00455A3C" w:rsidRDefault="006D31D9" w:rsidP="006D31D9">
      <w:pPr>
        <w:spacing w:before="0" w:line="240" w:lineRule="atLeast"/>
      </w:pPr>
      <w:r>
        <w:t>gsm: + 420 720 406 659</w:t>
      </w:r>
    </w:p>
    <w:p w14:paraId="43DEB5E7" w14:textId="77777777" w:rsidR="006D31D9" w:rsidRDefault="006D31D9" w:rsidP="006D31D9">
      <w:pPr>
        <w:spacing w:before="0" w:line="240" w:lineRule="atLeast"/>
        <w:rPr>
          <w:rStyle w:val="Hypertextovodkaz"/>
        </w:rPr>
      </w:pPr>
      <w:r w:rsidRPr="00455A3C">
        <w:rPr>
          <w:color w:val="000000"/>
        </w:rPr>
        <w:t xml:space="preserve">e-mail: </w:t>
      </w:r>
      <w:hyperlink r:id="rId18" w:history="1">
        <w:r w:rsidRPr="00E23FD4">
          <w:rPr>
            <w:rStyle w:val="Hypertextovodkaz"/>
          </w:rPr>
          <w:t>eliska.krohova@crestcom.cz</w:t>
        </w:r>
      </w:hyperlink>
    </w:p>
    <w:p w14:paraId="38A6317D" w14:textId="77777777" w:rsidR="006D31D9" w:rsidRDefault="006D31D9" w:rsidP="002027ED">
      <w:pPr>
        <w:shd w:val="clear" w:color="auto" w:fill="FFFFFF"/>
        <w:spacing w:before="0" w:line="360" w:lineRule="atLeast"/>
        <w:rPr>
          <w:b/>
          <w:bCs/>
        </w:rPr>
      </w:pPr>
    </w:p>
    <w:p w14:paraId="621D7100" w14:textId="1F1441E4" w:rsidR="006D31D9" w:rsidRDefault="006D31D9" w:rsidP="002027ED">
      <w:pPr>
        <w:shd w:val="clear" w:color="auto" w:fill="FFFFFF"/>
        <w:spacing w:before="0" w:line="360" w:lineRule="atLeast"/>
        <w:rPr>
          <w:b/>
          <w:bCs/>
        </w:rPr>
      </w:pPr>
    </w:p>
    <w:p w14:paraId="163D8DC9" w14:textId="5AC5676C"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w:t>
      </w:r>
      <w:r w:rsidRPr="00D404D5">
        <w:rPr>
          <w:color w:val="000000"/>
          <w:lang w:eastAsia="en-US"/>
        </w:rPr>
        <w:lastRenderedPageBreak/>
        <w:t>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lastRenderedPageBreak/>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382E6526"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8659D5C" w14:textId="77777777" w:rsidR="003C2C24" w:rsidRPr="003C2C24" w:rsidRDefault="003C2C24" w:rsidP="003C2C24">
      <w:pPr>
        <w:pStyle w:val="F2-zkladn"/>
        <w:rPr>
          <w:lang w:val="de-AT"/>
        </w:rPr>
      </w:pPr>
      <w:r w:rsidRPr="003C2C24">
        <w:rPr>
          <w:lang w:val="de-AT"/>
        </w:rPr>
        <w:t>MKAT12780</w:t>
      </w:r>
    </w:p>
    <w:p w14:paraId="1010ED4C" w14:textId="41F0FFF5" w:rsidR="00D20058" w:rsidRDefault="00D20058" w:rsidP="00154229">
      <w:pPr>
        <w:pStyle w:val="F2-zkladn"/>
      </w:pPr>
    </w:p>
    <w:sectPr w:rsidR="00D20058" w:rsidSect="00F50497">
      <w:headerReference w:type="default" r:id="rId19"/>
      <w:footerReference w:type="default" r:id="rId20"/>
      <w:headerReference w:type="first" r:id="rId21"/>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34A7E" w14:textId="77777777" w:rsidR="003A6C10" w:rsidRDefault="003A6C10">
      <w:r>
        <w:separator/>
      </w:r>
    </w:p>
  </w:endnote>
  <w:endnote w:type="continuationSeparator" w:id="0">
    <w:p w14:paraId="6374B293" w14:textId="77777777" w:rsidR="003A6C10" w:rsidRDefault="003A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E0A9E" w14:textId="77777777" w:rsidR="003A6C10" w:rsidRDefault="003A6C10">
      <w:r>
        <w:separator/>
      </w:r>
    </w:p>
  </w:footnote>
  <w:footnote w:type="continuationSeparator" w:id="0">
    <w:p w14:paraId="10A361C0" w14:textId="77777777" w:rsidR="003A6C10" w:rsidRDefault="003A6C10">
      <w:r>
        <w:continuationSeparator/>
      </w:r>
    </w:p>
  </w:footnote>
  <w:footnote w:type="continuationNotice" w:id="1">
    <w:p w14:paraId="2D37954E" w14:textId="77777777" w:rsidR="003A6C10" w:rsidRDefault="003A6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4CB061D"/>
    <w:multiLevelType w:val="hybridMultilevel"/>
    <w:tmpl w:val="7EAA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7"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9" w15:restartNumberingAfterBreak="0">
    <w:nsid w:val="17A71D6C"/>
    <w:multiLevelType w:val="hybridMultilevel"/>
    <w:tmpl w:val="AE961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7EC7D15"/>
    <w:multiLevelType w:val="hybridMultilevel"/>
    <w:tmpl w:val="1A466890"/>
    <w:lvl w:ilvl="0" w:tplc="B5A296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5"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B73A26"/>
    <w:multiLevelType w:val="hybridMultilevel"/>
    <w:tmpl w:val="2C40FD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9627A67"/>
    <w:multiLevelType w:val="hybridMultilevel"/>
    <w:tmpl w:val="39EA2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C6B6707"/>
    <w:multiLevelType w:val="hybridMultilevel"/>
    <w:tmpl w:val="7B3C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8"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0"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26800DB"/>
    <w:multiLevelType w:val="hybridMultilevel"/>
    <w:tmpl w:val="B8760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E0A2C93"/>
    <w:multiLevelType w:val="hybridMultilevel"/>
    <w:tmpl w:val="6570E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3033605">
    <w:abstractNumId w:val="18"/>
  </w:num>
  <w:num w:numId="2" w16cid:durableId="146671352">
    <w:abstractNumId w:val="39"/>
  </w:num>
  <w:num w:numId="3" w16cid:durableId="1266381172">
    <w:abstractNumId w:val="47"/>
  </w:num>
  <w:num w:numId="4" w16cid:durableId="1719279861">
    <w:abstractNumId w:val="26"/>
  </w:num>
  <w:num w:numId="5" w16cid:durableId="118620334">
    <w:abstractNumId w:val="28"/>
  </w:num>
  <w:num w:numId="6" w16cid:durableId="1824814676">
    <w:abstractNumId w:val="24"/>
  </w:num>
  <w:num w:numId="7" w16cid:durableId="1926299718">
    <w:abstractNumId w:val="45"/>
  </w:num>
  <w:num w:numId="8" w16cid:durableId="1498184102">
    <w:abstractNumId w:val="31"/>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2"/>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6"/>
  </w:num>
  <w:num w:numId="21" w16cid:durableId="1100370002">
    <w:abstractNumId w:val="37"/>
  </w:num>
  <w:num w:numId="22" w16cid:durableId="2069836537">
    <w:abstractNumId w:val="13"/>
  </w:num>
  <w:num w:numId="23" w16cid:durableId="1663701074">
    <w:abstractNumId w:val="10"/>
  </w:num>
  <w:num w:numId="24" w16cid:durableId="661811107">
    <w:abstractNumId w:val="14"/>
  </w:num>
  <w:num w:numId="25" w16cid:durableId="367528897">
    <w:abstractNumId w:val="22"/>
  </w:num>
  <w:num w:numId="26" w16cid:durableId="66655553">
    <w:abstractNumId w:val="44"/>
  </w:num>
  <w:num w:numId="27" w16cid:durableId="1412049229">
    <w:abstractNumId w:val="36"/>
  </w:num>
  <w:num w:numId="28" w16cid:durableId="1854563770">
    <w:abstractNumId w:val="23"/>
  </w:num>
  <w:num w:numId="29" w16cid:durableId="1511022718">
    <w:abstractNumId w:val="25"/>
  </w:num>
  <w:num w:numId="30" w16cid:durableId="189878341">
    <w:abstractNumId w:val="27"/>
  </w:num>
  <w:num w:numId="31" w16cid:durableId="408891146">
    <w:abstractNumId w:val="38"/>
  </w:num>
  <w:num w:numId="32" w16cid:durableId="668292118">
    <w:abstractNumId w:val="48"/>
  </w:num>
  <w:num w:numId="33" w16cid:durableId="1545678938">
    <w:abstractNumId w:val="34"/>
  </w:num>
  <w:num w:numId="34" w16cid:durableId="334190881">
    <w:abstractNumId w:val="46"/>
  </w:num>
  <w:num w:numId="35" w16cid:durableId="867832294">
    <w:abstractNumId w:val="50"/>
  </w:num>
  <w:num w:numId="36" w16cid:durableId="1707019958">
    <w:abstractNumId w:val="15"/>
  </w:num>
  <w:num w:numId="37" w16cid:durableId="1229464119">
    <w:abstractNumId w:val="43"/>
  </w:num>
  <w:num w:numId="38" w16cid:durableId="1404453976">
    <w:abstractNumId w:val="17"/>
  </w:num>
  <w:num w:numId="39" w16cid:durableId="639572714">
    <w:abstractNumId w:val="32"/>
  </w:num>
  <w:num w:numId="40" w16cid:durableId="1181239656">
    <w:abstractNumId w:val="40"/>
  </w:num>
  <w:num w:numId="41" w16cid:durableId="1776094729">
    <w:abstractNumId w:val="49"/>
  </w:num>
  <w:num w:numId="42" w16cid:durableId="58788658">
    <w:abstractNumId w:val="29"/>
  </w:num>
  <w:num w:numId="43" w16cid:durableId="1389382411">
    <w:abstractNumId w:val="42"/>
  </w:num>
  <w:num w:numId="44" w16cid:durableId="608975387">
    <w:abstractNumId w:val="21"/>
  </w:num>
  <w:num w:numId="45" w16cid:durableId="77678656">
    <w:abstractNumId w:val="51"/>
  </w:num>
  <w:num w:numId="46" w16cid:durableId="168758274">
    <w:abstractNumId w:val="41"/>
  </w:num>
  <w:num w:numId="47" w16cid:durableId="1247224458">
    <w:abstractNumId w:val="33"/>
  </w:num>
  <w:num w:numId="48" w16cid:durableId="437212441">
    <w:abstractNumId w:val="19"/>
  </w:num>
  <w:num w:numId="49" w16cid:durableId="1095831192">
    <w:abstractNumId w:val="52"/>
  </w:num>
  <w:num w:numId="50" w16cid:durableId="2049990179">
    <w:abstractNumId w:val="30"/>
  </w:num>
  <w:num w:numId="51" w16cid:durableId="1656181880">
    <w:abstractNumId w:val="35"/>
  </w:num>
  <w:num w:numId="52" w16cid:durableId="1811750984">
    <w:abstractNumId w:val="20"/>
  </w:num>
  <w:num w:numId="53" w16cid:durableId="160387702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6816"/>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1EB"/>
    <w:rsid w:val="000B5605"/>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147"/>
    <w:rsid w:val="000F2443"/>
    <w:rsid w:val="000F274E"/>
    <w:rsid w:val="000F27E1"/>
    <w:rsid w:val="000F330C"/>
    <w:rsid w:val="000F4953"/>
    <w:rsid w:val="000F5A28"/>
    <w:rsid w:val="000F5BBC"/>
    <w:rsid w:val="000F687B"/>
    <w:rsid w:val="000F75AD"/>
    <w:rsid w:val="000F75F1"/>
    <w:rsid w:val="000F7C86"/>
    <w:rsid w:val="0010078F"/>
    <w:rsid w:val="00102DF4"/>
    <w:rsid w:val="0011085D"/>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56AB9"/>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07349"/>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1586"/>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5E86"/>
    <w:rsid w:val="00276830"/>
    <w:rsid w:val="002772EA"/>
    <w:rsid w:val="00277457"/>
    <w:rsid w:val="002804AB"/>
    <w:rsid w:val="0028058D"/>
    <w:rsid w:val="0028110E"/>
    <w:rsid w:val="0028168C"/>
    <w:rsid w:val="00281857"/>
    <w:rsid w:val="00282531"/>
    <w:rsid w:val="00283492"/>
    <w:rsid w:val="00283AE5"/>
    <w:rsid w:val="00283F1B"/>
    <w:rsid w:val="00284C66"/>
    <w:rsid w:val="00284D83"/>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1D74"/>
    <w:rsid w:val="002E3325"/>
    <w:rsid w:val="002E497E"/>
    <w:rsid w:val="002E754C"/>
    <w:rsid w:val="002E76D1"/>
    <w:rsid w:val="002F0500"/>
    <w:rsid w:val="002F1160"/>
    <w:rsid w:val="002F3B85"/>
    <w:rsid w:val="002F5491"/>
    <w:rsid w:val="002F7A8F"/>
    <w:rsid w:val="00301671"/>
    <w:rsid w:val="00301881"/>
    <w:rsid w:val="0030211F"/>
    <w:rsid w:val="0030276E"/>
    <w:rsid w:val="00302961"/>
    <w:rsid w:val="00303102"/>
    <w:rsid w:val="00304242"/>
    <w:rsid w:val="00307253"/>
    <w:rsid w:val="0030766B"/>
    <w:rsid w:val="003078EB"/>
    <w:rsid w:val="00307E7E"/>
    <w:rsid w:val="00310C6A"/>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4296"/>
    <w:rsid w:val="00346522"/>
    <w:rsid w:val="00347B43"/>
    <w:rsid w:val="0035034F"/>
    <w:rsid w:val="00351441"/>
    <w:rsid w:val="003519AF"/>
    <w:rsid w:val="003524F1"/>
    <w:rsid w:val="00352768"/>
    <w:rsid w:val="00352D8D"/>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6C10"/>
    <w:rsid w:val="003A7050"/>
    <w:rsid w:val="003A7482"/>
    <w:rsid w:val="003A75FD"/>
    <w:rsid w:val="003A7DAF"/>
    <w:rsid w:val="003B397A"/>
    <w:rsid w:val="003B3BF6"/>
    <w:rsid w:val="003B4278"/>
    <w:rsid w:val="003B5520"/>
    <w:rsid w:val="003B6B7E"/>
    <w:rsid w:val="003C0075"/>
    <w:rsid w:val="003C06F7"/>
    <w:rsid w:val="003C1594"/>
    <w:rsid w:val="003C19B7"/>
    <w:rsid w:val="003C2C24"/>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004D"/>
    <w:rsid w:val="004113D5"/>
    <w:rsid w:val="004118D0"/>
    <w:rsid w:val="004125BB"/>
    <w:rsid w:val="00412615"/>
    <w:rsid w:val="00412819"/>
    <w:rsid w:val="0041337E"/>
    <w:rsid w:val="004177E3"/>
    <w:rsid w:val="004202CB"/>
    <w:rsid w:val="004205FB"/>
    <w:rsid w:val="00420D53"/>
    <w:rsid w:val="004224B6"/>
    <w:rsid w:val="004235A0"/>
    <w:rsid w:val="004238B6"/>
    <w:rsid w:val="00423C1E"/>
    <w:rsid w:val="00423C6F"/>
    <w:rsid w:val="00424771"/>
    <w:rsid w:val="00425B35"/>
    <w:rsid w:val="004273ED"/>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0D4"/>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A6233"/>
    <w:rsid w:val="004B10E5"/>
    <w:rsid w:val="004B1F43"/>
    <w:rsid w:val="004B25A0"/>
    <w:rsid w:val="004B29BE"/>
    <w:rsid w:val="004B366C"/>
    <w:rsid w:val="004B3A45"/>
    <w:rsid w:val="004B3E14"/>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2620"/>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5AA9"/>
    <w:rsid w:val="00627B44"/>
    <w:rsid w:val="00627C23"/>
    <w:rsid w:val="006305EF"/>
    <w:rsid w:val="00631992"/>
    <w:rsid w:val="00631E30"/>
    <w:rsid w:val="00632705"/>
    <w:rsid w:val="00633C8F"/>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3E33"/>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31D9"/>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33D"/>
    <w:rsid w:val="00750405"/>
    <w:rsid w:val="007507C1"/>
    <w:rsid w:val="00751546"/>
    <w:rsid w:val="007541CE"/>
    <w:rsid w:val="007545E5"/>
    <w:rsid w:val="00755577"/>
    <w:rsid w:val="00755878"/>
    <w:rsid w:val="00756B91"/>
    <w:rsid w:val="00757E96"/>
    <w:rsid w:val="00760A86"/>
    <w:rsid w:val="00764A53"/>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62B9"/>
    <w:rsid w:val="007C730D"/>
    <w:rsid w:val="007C7393"/>
    <w:rsid w:val="007D0C6A"/>
    <w:rsid w:val="007D391B"/>
    <w:rsid w:val="007D3B29"/>
    <w:rsid w:val="007D43E6"/>
    <w:rsid w:val="007D4EC6"/>
    <w:rsid w:val="007D5CD8"/>
    <w:rsid w:val="007D613C"/>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3C3C"/>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04B"/>
    <w:rsid w:val="00900CE5"/>
    <w:rsid w:val="00901E9B"/>
    <w:rsid w:val="00902BBA"/>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24EA"/>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85F03"/>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2A1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6C40"/>
    <w:rsid w:val="00C67B70"/>
    <w:rsid w:val="00C7074E"/>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3438A"/>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567C0"/>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27D73"/>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163B"/>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3555759">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6620878">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eliska.krohova@crestcom.c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ediacentre.fidelity.co.uk/press-releases/fidelity-international-evolves-sustainable-investing-framework/"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1482</Words>
  <Characters>8749</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10211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2025-02-04T09:13:00Z</dcterms:created>
  <dcterms:modified xsi:type="dcterms:W3CDTF">2025-02-04T10:56:00Z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